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Лекция 1</w:t>
      </w:r>
    </w:p>
    <w:p>
      <w:pPr>
        <w:jc w:val="center"/>
      </w:pPr>
      <w:r>
        <w:rPr>
          <w:b/>
          <w:sz w:val="30"/>
        </w:rPr>
        <w:t>Теоретические основы взаимодействия государства и бизнеса</w:t>
      </w:r>
    </w:p>
    <w:p>
      <w:pPr>
        <w:jc w:val="center"/>
      </w:pPr>
      <w:r>
        <w:rPr>
          <w:i/>
        </w:rPr>
        <w:t>Дисциплина Взаимодействие государства и бизнеса</w:t>
      </w:r>
    </w:p>
    <w:p>
      <w:pPr>
        <w:jc w:val="center"/>
      </w:pPr>
      <w:r>
        <w:t>Трудоемкость 1 академический час</w:t>
      </w:r>
    </w:p>
    <w:p>
      <w:r>
        <w:t>Материал предназначен для изучения ключевых понятий темы и последующего выполнения письменной самостоятельной работы. Основной вывод: эффективное взаимодействие требует четких правил, измеримых результатов, прозрачного распределения ответственности и анализа последствий для всех заинтересованных сторон.</w:t>
      </w:r>
    </w:p>
    <w:p>
      <w:pPr>
        <w:pStyle w:val="Heading1"/>
      </w:pPr>
      <w:r>
        <w:t>Цель и результаты обучения</w:t>
      </w:r>
    </w:p>
    <w:p>
      <w:r>
        <w:t>Цель занятия — сформировать целостное представление о причинах, формах и границах взаимодействия государства и предпринимательского сектора.</w:t>
      </w:r>
    </w:p>
    <w:p>
      <w:r>
        <w:t>После изучения темы обучающийся:</w:t>
      </w:r>
    </w:p>
    <w:p>
      <w:pPr>
        <w:pStyle w:val="ListBullet"/>
      </w:pPr>
      <w:r>
        <w:t>объясняет экономические функции государства и бизнеса</w:t>
      </w:r>
    </w:p>
    <w:p>
      <w:pPr>
        <w:pStyle w:val="ListBullet"/>
      </w:pPr>
      <w:r>
        <w:t>различает регулирование, поддержку, партнерство и контроль</w:t>
      </w:r>
    </w:p>
    <w:p>
      <w:pPr>
        <w:pStyle w:val="ListBullet"/>
      </w:pPr>
      <w:r>
        <w:t>выявляет интересы и риски участников взаимодействия</w:t>
      </w:r>
    </w:p>
    <w:p>
      <w:pPr>
        <w:pStyle w:val="ListBullet"/>
      </w:pPr>
      <w:r>
        <w:t>применяет модель стейкхолдеров к практической ситуации</w:t>
      </w:r>
    </w:p>
    <w:p>
      <w:pPr>
        <w:pStyle w:val="Heading1"/>
      </w:pPr>
      <w:r>
        <w:t>План лекции</w:t>
      </w:r>
    </w:p>
    <w:p>
      <w:pPr>
        <w:pStyle w:val="ListNumber"/>
      </w:pPr>
      <w:r>
        <w:t>Государство и бизнес как экономические институты</w:t>
      </w:r>
    </w:p>
    <w:p>
      <w:pPr>
        <w:pStyle w:val="ListNumber"/>
      </w:pPr>
      <w:r>
        <w:t>Провалы рынка и провалы государства</w:t>
      </w:r>
    </w:p>
    <w:p>
      <w:pPr>
        <w:pStyle w:val="ListNumber"/>
      </w:pPr>
      <w:r>
        <w:t>Формы и принципы взаимодействия</w:t>
      </w:r>
    </w:p>
    <w:p>
      <w:pPr>
        <w:pStyle w:val="ListNumber"/>
      </w:pPr>
      <w:r>
        <w:t>Баланс публичного и частного интереса</w:t>
      </w:r>
    </w:p>
    <w:p>
      <w:pPr>
        <w:pStyle w:val="Heading1"/>
      </w:pPr>
      <w:r>
        <w:t>Основные понятия</w:t>
      </w:r>
    </w:p>
    <w:p>
      <w:r>
        <w:t>публичный интерес, предпринимательство, регулирование, государственная поддержка, провал рынка, регуляторный риск, стейкхолдер.</w:t>
      </w:r>
    </w:p>
    <w:p>
      <w:pPr>
        <w:pStyle w:val="Heading1"/>
      </w:pPr>
      <w:r>
        <w:t>Содержание лекции</w:t>
      </w:r>
    </w:p>
    <w:p>
      <w:pPr>
        <w:pStyle w:val="Heading2"/>
      </w:pPr>
      <w:r>
        <w:t>Государство и бизнес как участники экономической системы</w:t>
      </w:r>
    </w:p>
    <w:p>
      <w:r>
        <w:t>Государство устанавливает общеобязательные правила, производит общественные блага, перераспределяет ресурсы и обеспечивает защиту прав. Бизнес соединяет капитал, труд, знания и предпринимательский риск для создания товаров, услуг и инноваций. Их отношения нельзя сводить только к контролю: государство одновременно выступает регулятором, заказчиком, собственником, инвестором и партнером. Бизнес является налогоплательщиком, работодателем, поставщиком решений и источником обратной связи о качестве институтов.</w:t>
      </w:r>
    </w:p>
    <w:p>
      <w:r>
        <w:t>Практический акцент. При анализе необходимо отделять формальное наличие инструмента от его фактического результата, проверять исходные данные, альтернативы, распределение выгод и рисков, а также возможность последующего контроля.</w:t>
      </w:r>
    </w:p>
    <w:p>
      <w:pPr>
        <w:pStyle w:val="Heading2"/>
      </w:pPr>
      <w:r>
        <w:t>Почему возникает взаимодействие</w:t>
      </w:r>
    </w:p>
    <w:p>
      <w:r>
        <w:t>Основанием вмешательства государства служат внешние эффекты, общественные блага, информационная асимметрия, естественные монополии и социальное неравенство. Однако государственное решение также имеет издержки: неполную информацию, бюрократические задержки, риск регуляторного захвата и неэффективного расходования средств. Поэтому каждое решение следует проверять на необходимость, соразмерность, прозрачность и наличие менее затратной альтернативы.</w:t>
      </w:r>
    </w:p>
    <w:p>
      <w:r>
        <w:t>Практический акцент. При анализе необходимо отделять формальное наличие инструмента от его фактического результата, проверять исходные данные, альтернативы, распределение выгод и рисков, а также возможность последующего контроля.</w:t>
      </w:r>
    </w:p>
    <w:p>
      <w:pPr>
        <w:pStyle w:val="Heading2"/>
      </w:pPr>
      <w:r>
        <w:t>Инструменты и модели</w:t>
      </w:r>
    </w:p>
    <w:p>
      <w:r>
        <w:t>К прямым инструментам относятся лицензирование, запреты, стандарты, контроль и государственный заказ. Косвенные инструменты включают налоги, субсидии, гарантии, кредитные программы и информационную поддержку. Партнерская модель строится на договорном распределении задач и рисков. В современной практике важны цифровые платформы, открытые данные, оценка регулирующего воздействия и публичные консультации.</w:t>
      </w:r>
    </w:p>
    <w:p>
      <w:r>
        <w:t>Практический акцент. При анализе необходимо отделять формальное наличие инструмента от его фактического результата, проверять исходные данные, альтернативы, распределение выгод и рисков, а также возможность последующего контроля.</w:t>
      </w:r>
    </w:p>
    <w:p>
      <w:pPr>
        <w:pStyle w:val="Heading2"/>
      </w:pPr>
      <w:r>
        <w:t>Принципы качественного взаимодействия</w:t>
      </w:r>
    </w:p>
    <w:p>
      <w:r>
        <w:t>Ключевые принципы — законность, равенство субъектов рынка, предсказуемость, добросовестность, конкуренция, подотчетность и защита прав. Решение считается устойчивым, если общественная выгода измерима, издержки не переложены скрыто на потребителя, ответственность распределена заранее, а результаты можно проверить.</w:t>
      </w:r>
    </w:p>
    <w:p>
      <w:r>
        <w:t>Практический акцент. При анализе необходимо отделять формальное наличие инструмента от его фактического результата, проверять исходные данные, альтернативы, распределение выгод и рисков, а также возможность последующего контроля.</w:t>
      </w:r>
    </w:p>
    <w:p>
      <w:pPr>
        <w:pStyle w:val="Heading1"/>
      </w:pPr>
      <w:r>
        <w:t>Алгоритм анализа практической ситуации</w:t>
      </w:r>
    </w:p>
    <w:p>
      <w:pPr>
        <w:pStyle w:val="ListNumber"/>
      </w:pPr>
      <w:r>
        <w:t>Сформулировать проблему и желаемый общественный или организационный результат.</w:t>
      </w:r>
    </w:p>
    <w:p>
      <w:pPr>
        <w:pStyle w:val="ListNumber"/>
      </w:pPr>
      <w:r>
        <w:t>Определить участников, их полномочия, ресурсы, интересы и возможные конфликты.</w:t>
      </w:r>
    </w:p>
    <w:p>
      <w:pPr>
        <w:pStyle w:val="ListNumber"/>
      </w:pPr>
      <w:r>
        <w:t>Собрать правовые, финансовые и статистические данные; отделить факты от предположений.</w:t>
      </w:r>
    </w:p>
    <w:p>
      <w:pPr>
        <w:pStyle w:val="ListNumber"/>
      </w:pPr>
      <w:r>
        <w:t>Сравнить не менее двух вариантов решения, включая сохранение текущего положения.</w:t>
      </w:r>
    </w:p>
    <w:p>
      <w:pPr>
        <w:pStyle w:val="ListNumber"/>
      </w:pPr>
      <w:r>
        <w:t>Оценить затраты, выгоды, риски, влияние на конкуренцию и уязвимые группы.</w:t>
      </w:r>
    </w:p>
    <w:p>
      <w:pPr>
        <w:pStyle w:val="ListNumber"/>
      </w:pPr>
      <w:r>
        <w:t>Выбрать решение и установить сроки, ответственных, показатели и механизм обратной связи.</w:t>
      </w:r>
    </w:p>
    <w:p>
      <w:pPr>
        <w:pStyle w:val="Heading1"/>
      </w:pPr>
      <w:r>
        <w:t>Учебный кейс</w:t>
      </w:r>
    </w:p>
    <w:p>
      <w:r>
        <w:t>В регионе частные перевозчики жалуются на нерентабельный тариф, а жители — на нерегулярность маршрутов. Акимат рассматривает субсидирование социально значимых маршрутов и усиление требований к качеству.</w:t>
      </w:r>
    </w:p>
    <w:p>
      <w:r>
        <w:t>Вопросы для обсуждения:</w:t>
      </w:r>
    </w:p>
    <w:p>
      <w:pPr>
        <w:pStyle w:val="ListBullet"/>
      </w:pPr>
      <w:r>
        <w:t>В чем состоит основная проблема и каковы ее причины?</w:t>
      </w:r>
    </w:p>
    <w:p>
      <w:pPr>
        <w:pStyle w:val="ListBullet"/>
      </w:pPr>
      <w:r>
        <w:t>Какие нормы и институты необходимо проверить?</w:t>
      </w:r>
    </w:p>
    <w:p>
      <w:pPr>
        <w:pStyle w:val="ListBullet"/>
      </w:pPr>
      <w:r>
        <w:t>Как распределяются выгоды, затраты и риски?</w:t>
      </w:r>
    </w:p>
    <w:p>
      <w:pPr>
        <w:pStyle w:val="ListBullet"/>
      </w:pPr>
      <w:r>
        <w:t>Какая информация отсутствует для обоснованного решения?</w:t>
      </w:r>
    </w:p>
    <w:p>
      <w:pPr>
        <w:pStyle w:val="ListBullet"/>
      </w:pPr>
      <w:r>
        <w:t>Какое решение вы предлагаете и как измерить его результат?</w:t>
      </w:r>
    </w:p>
    <w:p>
      <w:pPr>
        <w:pStyle w:val="Heading1"/>
      </w:pPr>
      <w:r>
        <w:t>Контрольные вопросы</w:t>
      </w:r>
    </w:p>
    <w:p>
      <w:pPr>
        <w:pStyle w:val="ListNumber"/>
      </w:pPr>
      <w:r>
        <w:t>Дайте определение центральному понятию темы.</w:t>
      </w:r>
    </w:p>
    <w:p>
      <w:pPr>
        <w:pStyle w:val="ListNumber"/>
      </w:pPr>
      <w:r>
        <w:t>Какие интересы государства, бизнеса и общества затрагиваются?</w:t>
      </w:r>
    </w:p>
    <w:p>
      <w:pPr>
        <w:pStyle w:val="ListNumber"/>
      </w:pPr>
      <w:r>
        <w:t>Какие инструменты применимы и каковы ограничения каждого?</w:t>
      </w:r>
    </w:p>
    <w:p>
      <w:pPr>
        <w:pStyle w:val="ListNumber"/>
      </w:pPr>
      <w:r>
        <w:t>Назовите основные правовые, финансовые и репутационные риски.</w:t>
      </w:r>
    </w:p>
    <w:p>
      <w:pPr>
        <w:pStyle w:val="ListNumber"/>
      </w:pPr>
      <w:r>
        <w:t>Какие показатели подтверждают достижение результата?</w:t>
      </w:r>
    </w:p>
    <w:p>
      <w:pPr>
        <w:pStyle w:val="ListNumber"/>
      </w:pPr>
      <w:r>
        <w:t>Как обеспечить прозрачность и возможность обжалования?</w:t>
      </w:r>
    </w:p>
    <w:p>
      <w:r>
        <w:br w:type="page"/>
      </w:r>
    </w:p>
    <w:p>
      <w:pPr>
        <w:pStyle w:val="Title"/>
      </w:pPr>
      <w:r>
        <w:t>Письменная самостоятельная работа</w:t>
      </w:r>
    </w:p>
    <w:p>
      <w:pPr>
        <w:jc w:val="center"/>
      </w:pPr>
      <w:r>
        <w:rPr>
          <w:b/>
        </w:rPr>
        <w:t>Теоретические основы взаимодействия государства и бизнеса</w:t>
      </w:r>
    </w:p>
    <w:p>
      <w:pPr>
        <w:pStyle w:val="Heading1"/>
      </w:pPr>
      <w:r>
        <w:t>Задание</w:t>
      </w:r>
    </w:p>
    <w:p>
      <w:r>
        <w:t>На примере выбранной отрасли Казахстана подготовьте аналитическую записку о взаимодействии государства и бизнеса. Определите проблему, заинтересованные стороны, применяемые инструменты, выгоды, издержки и возможные институциональные риски.</w:t>
      </w:r>
    </w:p>
    <w:p>
      <w:pPr>
        <w:pStyle w:val="Heading1"/>
      </w:pPr>
      <w:r>
        <w:t>Требуемая структура работы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20"/>
        <w:gridCol w:w="7200"/>
      </w:tblGrid>
      <w:tr>
        <w:tc>
          <w:tcPr>
            <w:tcW w:type="dxa" w:w="5004"/>
            <w:shd w:fill="1F4E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Раздел</w:t>
            </w:r>
          </w:p>
        </w:tc>
        <w:tc>
          <w:tcPr>
            <w:tcW w:type="dxa" w:w="5004"/>
            <w:shd w:fill="1F4E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Содержание</w:t>
            </w:r>
          </w:p>
        </w:tc>
      </w:tr>
      <w:tr>
        <w:tc>
          <w:tcPr>
            <w:tcW w:type="dxa" w:w="2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Введение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актуальность, цель, объект и краткое описание ситуации</w:t>
            </w:r>
          </w:p>
        </w:tc>
      </w:tr>
      <w:tr>
        <w:tc>
          <w:tcPr>
            <w:tcW w:type="dxa" w:w="2520"/>
            <w:shd w:fill="EAF2F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Нормативная и теоретическая основа</w:t>
            </w:r>
          </w:p>
        </w:tc>
        <w:tc>
          <w:tcPr>
            <w:tcW w:type="dxa" w:w="7200"/>
            <w:shd w:fill="EAF2F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ключевые понятия и применимые официальные источники</w:t>
            </w:r>
          </w:p>
        </w:tc>
      </w:tr>
      <w:tr>
        <w:tc>
          <w:tcPr>
            <w:tcW w:type="dxa" w:w="2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Аналитическая часть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факты, участники, альтернативы, расчеты или показатели, риски</w:t>
            </w:r>
          </w:p>
        </w:tc>
      </w:tr>
      <w:tr>
        <w:tc>
          <w:tcPr>
            <w:tcW w:type="dxa" w:w="2520"/>
            <w:shd w:fill="EAF2F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Предлагаемое решение</w:t>
            </w:r>
          </w:p>
        </w:tc>
        <w:tc>
          <w:tcPr>
            <w:tcW w:type="dxa" w:w="7200"/>
            <w:shd w:fill="EAF2F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аргументация, этапы реализации, ответственные и ресурсы</w:t>
            </w:r>
          </w:p>
        </w:tc>
      </w:tr>
      <w:tr>
        <w:tc>
          <w:tcPr>
            <w:tcW w:type="dxa" w:w="252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Заключение</w:t>
            </w:r>
          </w:p>
        </w:tc>
        <w:tc>
          <w:tcPr>
            <w:tcW w:type="dxa" w:w="72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выводы и ожидаемый эффект</w:t>
            </w:r>
          </w:p>
        </w:tc>
      </w:tr>
      <w:tr>
        <w:tc>
          <w:tcPr>
            <w:tcW w:type="dxa" w:w="2520"/>
            <w:shd w:fill="EAF2F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Список источников</w:t>
            </w:r>
          </w:p>
        </w:tc>
        <w:tc>
          <w:tcPr>
            <w:tcW w:type="dxa" w:w="7200"/>
            <w:shd w:fill="EAF2F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не менее пяти источников, включая минимум два официальных</w:t>
            </w:r>
          </w:p>
        </w:tc>
      </w:tr>
    </w:tbl>
    <w:p>
      <w:pPr>
        <w:pStyle w:val="Heading1"/>
      </w:pPr>
      <w:r>
        <w:t>Требования к оформлению</w:t>
      </w:r>
    </w:p>
    <w:p>
      <w:pPr>
        <w:pStyle w:val="ListBullet"/>
      </w:pPr>
      <w:r>
        <w:t>Объем 4–6 страниц без титульного листа и приложений.</w:t>
      </w:r>
    </w:p>
    <w:p>
      <w:pPr>
        <w:pStyle w:val="ListBullet"/>
      </w:pPr>
      <w:r>
        <w:t>Шрифт 12 pt, межстрочный интервал 1,15; поля не менее 2 см.</w:t>
      </w:r>
    </w:p>
    <w:p>
      <w:pPr>
        <w:pStyle w:val="ListBullet"/>
      </w:pPr>
      <w:r>
        <w:t>Обязательны ссылки на использованные данные и нормативные правовые акты.</w:t>
      </w:r>
    </w:p>
    <w:p>
      <w:pPr>
        <w:pStyle w:val="ListBullet"/>
      </w:pPr>
      <w:r>
        <w:t>Таблицы и схемы должны иметь название и пояснение в тексте.</w:t>
      </w:r>
    </w:p>
    <w:p>
      <w:pPr>
        <w:pStyle w:val="ListBullet"/>
      </w:pPr>
      <w:r>
        <w:t>Допускается командный сбор данных, но письменный текст и выводы выполняются индивидуально.</w:t>
      </w:r>
    </w:p>
    <w:p>
      <w:pPr>
        <w:pStyle w:val="Heading1"/>
      </w:pPr>
      <w:r>
        <w:t>Критерии оценивания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36"/>
        <w:gridCol w:w="3336"/>
        <w:gridCol w:w="3336"/>
      </w:tblGrid>
      <w:tr>
        <w:tc>
          <w:tcPr>
            <w:tcW w:type="dxa" w:w="3336"/>
            <w:shd w:fill="1F4E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rPr>
                <w:b/>
                <w:color w:val="FFFFFF"/>
              </w:rPr>
              <w:t>Критерий</w:t>
            </w:r>
          </w:p>
        </w:tc>
        <w:tc>
          <w:tcPr>
            <w:tcW w:type="dxa" w:w="3336"/>
            <w:shd w:fill="1F4E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Максимум</w:t>
            </w:r>
          </w:p>
        </w:tc>
        <w:tc>
          <w:tcPr>
            <w:tcW w:type="dxa" w:w="3336"/>
            <w:shd w:fill="1F4E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rPr>
                <w:b/>
                <w:color w:val="FFFFFF"/>
              </w:rPr>
              <w:t>Признак высокого результата</w:t>
            </w:r>
          </w:p>
        </w:tc>
      </w:tr>
      <w:tr>
        <w:tc>
          <w:tcPr>
            <w:tcW w:type="dxa" w:w="3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t>Постановка проблемы и логика структуры</w:t>
            </w:r>
          </w:p>
        </w:tc>
        <w:tc>
          <w:tcPr>
            <w:tcW w:type="dxa" w:w="3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t>15</w:t>
            </w:r>
          </w:p>
        </w:tc>
        <w:tc>
          <w:tcPr>
            <w:tcW w:type="dxa" w:w="3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t>проблема конкретна, структура последовательна</w:t>
            </w:r>
          </w:p>
        </w:tc>
      </w:tr>
      <w:tr>
        <w:tc>
          <w:tcPr>
            <w:tcW w:type="dxa" w:w="3336"/>
            <w:shd w:fill="EAF2F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t>Корректность понятий и нормативной основы</w:t>
            </w:r>
          </w:p>
        </w:tc>
        <w:tc>
          <w:tcPr>
            <w:tcW w:type="dxa" w:w="3336"/>
            <w:shd w:fill="EAF2F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t>20</w:t>
            </w:r>
          </w:p>
        </w:tc>
        <w:tc>
          <w:tcPr>
            <w:tcW w:type="dxa" w:w="3336"/>
            <w:shd w:fill="EAF2F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t>понятия и нормы применены по существу</w:t>
            </w:r>
          </w:p>
        </w:tc>
      </w:tr>
      <w:tr>
        <w:tc>
          <w:tcPr>
            <w:tcW w:type="dxa" w:w="3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t>Глубина анализа и качество доказательств</w:t>
            </w:r>
          </w:p>
        </w:tc>
        <w:tc>
          <w:tcPr>
            <w:tcW w:type="dxa" w:w="3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t>25</w:t>
            </w:r>
          </w:p>
        </w:tc>
        <w:tc>
          <w:tcPr>
            <w:tcW w:type="dxa" w:w="3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t>выводы опираются на факты, сравнение и риски</w:t>
            </w:r>
          </w:p>
        </w:tc>
      </w:tr>
      <w:tr>
        <w:tc>
          <w:tcPr>
            <w:tcW w:type="dxa" w:w="3336"/>
            <w:shd w:fill="EAF2F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t>Реалистичность и обоснование решения</w:t>
            </w:r>
          </w:p>
        </w:tc>
        <w:tc>
          <w:tcPr>
            <w:tcW w:type="dxa" w:w="3336"/>
            <w:shd w:fill="EAF2F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t>20</w:t>
            </w:r>
          </w:p>
        </w:tc>
        <w:tc>
          <w:tcPr>
            <w:tcW w:type="dxa" w:w="3336"/>
            <w:shd w:fill="EAF2F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t>предложение выполнимо и содержит показатели</w:t>
            </w:r>
          </w:p>
        </w:tc>
      </w:tr>
      <w:tr>
        <w:tc>
          <w:tcPr>
            <w:tcW w:type="dxa" w:w="3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t>Использование данных и источников</w:t>
            </w:r>
          </w:p>
        </w:tc>
        <w:tc>
          <w:tcPr>
            <w:tcW w:type="dxa" w:w="3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3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t>источники актуальны, проверяемы и корректно указаны</w:t>
            </w:r>
          </w:p>
        </w:tc>
      </w:tr>
      <w:tr>
        <w:tc>
          <w:tcPr>
            <w:tcW w:type="dxa" w:w="3336"/>
            <w:shd w:fill="EAF2F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t>Ясность языка и оформление</w:t>
            </w:r>
          </w:p>
        </w:tc>
        <w:tc>
          <w:tcPr>
            <w:tcW w:type="dxa" w:w="3336"/>
            <w:shd w:fill="EAF2F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3336"/>
            <w:shd w:fill="EAF2F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left"/>
            </w:pPr>
            <w:r>
              <w:t>текст грамотный, таблицы читаемы</w:t>
            </w:r>
          </w:p>
        </w:tc>
      </w:tr>
    </w:tbl>
    <w:p>
      <w:pPr>
        <w:pStyle w:val="Heading1"/>
      </w:pPr>
      <w:r>
        <w:t>Вопросы для самопроверки</w:t>
      </w:r>
    </w:p>
    <w:p>
      <w:pPr>
        <w:pStyle w:val="ListBullet"/>
      </w:pPr>
      <w:r>
        <w:t>Есть ли в работе четко сформулированная проблема?</w:t>
      </w:r>
    </w:p>
    <w:p>
      <w:pPr>
        <w:pStyle w:val="ListBullet"/>
      </w:pPr>
      <w:r>
        <w:t>Подтверждены ли ключевые утверждения официальными данными?</w:t>
      </w:r>
    </w:p>
    <w:p>
      <w:pPr>
        <w:pStyle w:val="ListBullet"/>
      </w:pPr>
      <w:r>
        <w:t>Рассмотрена ли реальная альтернатива предложенному решению?</w:t>
      </w:r>
    </w:p>
    <w:p>
      <w:pPr>
        <w:pStyle w:val="ListBullet"/>
      </w:pPr>
      <w:r>
        <w:t>Показаны ли риски и способы их снижения?</w:t>
      </w:r>
    </w:p>
    <w:p>
      <w:pPr>
        <w:pStyle w:val="ListBullet"/>
      </w:pPr>
      <w:r>
        <w:t>Можно ли проверить результат по указанным показателям?</w:t>
      </w:r>
    </w:p>
    <w:p>
      <w:pPr>
        <w:pStyle w:val="Heading1"/>
      </w:pPr>
      <w:r>
        <w:t>Рекомендуемые источники</w:t>
      </w:r>
    </w:p>
    <w:p>
      <w:pPr>
        <w:pStyle w:val="ListBullet"/>
      </w:pPr>
      <w:r>
        <w:t>Предпринимательский кодекс Республики Казахстан от 29 октября 2015 года № 375-V ЗРК. ИПС Әділет: https://adilet.zan.kz/rus/docs/K1500000375</w:t>
      </w:r>
    </w:p>
    <w:p>
      <w:pPr>
        <w:pStyle w:val="ListBullet"/>
      </w:pPr>
      <w:r>
        <w:t>Официальные статистические данные Бюро национальной статистики: https://stat.gov.kz/ru/</w:t>
      </w:r>
    </w:p>
    <w:p>
      <w:r>
        <w:t>Примечание. Нормативные правовые акты следует использовать в редакции, действующей на дату выполнения работы, и проверять по официальной информационно правовой системе.</w:t>
      </w:r>
    </w:p>
    <w:sectPr w:rsidR="00FC693F" w:rsidRPr="0006063C" w:rsidSect="00034616">
      <w:footerReference w:type="default" r:id="rId9"/>
      <w:pgSz w:w="12240" w:h="15840"/>
      <w:pgMar w:top="1037" w:right="1008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Тема 1  Взаимодействие государства и бизнеса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